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 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0015-01-202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3213-36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597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hanging="797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317" w:after="0" w:line="317" w:lineRule="atLeast"/>
        <w:ind w:left="58" w:right="29" w:firstLine="6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 w:line="317" w:lineRule="atLeast"/>
        <w:ind w:left="58" w:right="29" w:firstLine="6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 Ханты-Мансийского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Ирина Петровна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29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адрес: 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д. 13,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Мирмахмудова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Муталиба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Муроджоновича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0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дминистративных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.02.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Style w:val="cat-UserDefinedgrp-31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Мирмахмудов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уплатил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назначенный 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>188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586231</w:t>
      </w:r>
      <w:r>
        <w:rPr>
          <w:rFonts w:ascii="Times New Roman" w:eastAsia="Times New Roman" w:hAnsi="Times New Roman" w:cs="Times New Roman"/>
          <w:sz w:val="28"/>
          <w:szCs w:val="28"/>
        </w:rPr>
        <w:t>207007877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07.12.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ст.12.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в срок, предусмотренный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32.2 КоАП РФ.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Мирмахмудов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М.М.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адлежаще извещен о времени и месте рассмотрения дела/судебная повестка/ 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заявлений о рассмотрении дела в отсутствие не предоставил, в деле имеется конверт с отметкой «Истек срок хранения».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 6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 соблюдения установленных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29.6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КоАП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РФ не содержит каких-либо ограничений, связанных с таким </w:t>
      </w:r>
      <w:r>
        <w:rPr>
          <w:rFonts w:ascii="Times New Roman" w:eastAsia="Times New Roman" w:hAnsi="Times New Roman" w:cs="Times New Roman"/>
          <w:sz w:val="28"/>
          <w:szCs w:val="28"/>
        </w:rPr>
        <w:t>извещением, оно в зависимости от конкретных обстоятельств дела может быть произведено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факсимильной связью и т.п., посредством СМС - сообщения, в случае согласия лица на уведомление таким способом и при фиксации факта отправки и доставки СМС- извещения адресату).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истечении срока хранения, если были соблюдены положения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Особых условий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приказом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ФГУП "Почта России" от 31 августа 2005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343.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выше обстоятельства свидетельствуют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>Мирмахмудов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М.М. </w:t>
      </w:r>
      <w:r>
        <w:rPr>
          <w:rFonts w:ascii="Times New Roman" w:eastAsia="Times New Roman" w:hAnsi="Times New Roman" w:cs="Times New Roman"/>
          <w:sz w:val="28"/>
          <w:szCs w:val="28"/>
        </w:rPr>
        <w:t>не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Мирмахмудова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 имеющимся в деле доказательствам.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Мирмахмудова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№18810586231207007877 от 07.12.2023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совершение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ст.12.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назначено наказание в виде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алами дела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ст. 26.11 Кодекса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позиции соблюдения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Исследовав, материалы административного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Мирмахмудова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М.М. с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дья квалифицирует 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20.25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>, отягчающи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 на основании ст. 4.3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 привлеченного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приходит к выводу необходимым назначить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Мирмахмудова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Муталиба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Муроджоновича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.00 /</w:t>
      </w:r>
      <w:r>
        <w:rPr>
          <w:rFonts w:ascii="Times New Roman" w:eastAsia="Times New Roman" w:hAnsi="Times New Roman" w:cs="Times New Roman"/>
          <w:sz w:val="28"/>
          <w:szCs w:val="28"/>
        </w:rPr>
        <w:t>одна тысяча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/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Мирмахмудова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административной ответственности в течение 60 дней с момента вступления постановления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08080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), ИНН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/КПП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86010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73664/860101001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ОКТМО 71826000, № счета получателя: 03100643000000018700,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Мансийск,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/УФК по ХМАО-Югре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БИК 007162163, КБК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720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11601203019000140,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УИН 041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2365400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5972420132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597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1504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через судью, вынесшего постановление.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И.П. Кравцова</w:t>
      </w:r>
    </w:p>
    <w:sectPr>
      <w:headerReference w:type="default" r:id="rId9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5179554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0rplc-9">
    <w:name w:val="cat-UserDefined grp-30 rplc-9"/>
    <w:basedOn w:val="DefaultParagraphFont"/>
  </w:style>
  <w:style w:type="character" w:customStyle="1" w:styleId="cat-UserDefinedgrp-31rplc-15">
    <w:name w:val="cat-UserDefined grp-31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glossaryDocument" Target="glossary/document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0" TargetMode="External" /><Relationship Id="rId5" Type="http://schemas.openxmlformats.org/officeDocument/2006/relationships/hyperlink" Target="garantF1://12025267.296" TargetMode="External" /><Relationship Id="rId6" Type="http://schemas.openxmlformats.org/officeDocument/2006/relationships/hyperlink" Target="garantF1://12025267.0" TargetMode="External" /><Relationship Id="rId7" Type="http://schemas.openxmlformats.org/officeDocument/2006/relationships/hyperlink" Target="garantF1://70203344.1000" TargetMode="External" /><Relationship Id="rId8" Type="http://schemas.openxmlformats.org/officeDocument/2006/relationships/hyperlink" Target="garantF1://70203344.0" TargetMode="External" /><Relationship Id="rId9" Type="http://schemas.openxmlformats.org/officeDocument/2006/relationships/header" Target="header1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FCBDC-7819-4390-A314-F3E2CDE4E2E9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